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4"/>
              </w:rPr>
              <w:t xml:space="preserve">Решение Саратовской городской Думы от 23.05.2019 N 50-373</w:t>
              <w:br/>
              <w:t xml:space="preserve">(ред. от 24.11.2023)</w:t>
              <w:br/>
              <w:t xml:space="preserve">"Об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доход", в муниципальном образовании "Город Саратов"</w:t>
              <w:br/>
              <w:t xml:space="preserve">(вместе с "Порядком формирования, ведения и обязательного опубликования Перечня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"Порядком и условиями предоставления в аренду нежилых зданий и помещений, включенных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"Порядком и условиями предоставления в аренду земельных участков, включенных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САРАТОВСКАЯ ГОРОДСКАЯ ДУМА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23 мая 2019 г. N 50-373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ИМУЩЕСТВЕННОЙ ПОДДЕРЖКЕ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А ТАКЖЕ ФИЗИЧЕСКИХ ЛИЦ, НЕ ЯВЛЯЮЩИХСЯ</w:t>
      </w:r>
    </w:p>
    <w:p>
      <w:pPr>
        <w:pStyle w:val="2"/>
        <w:jc w:val="center"/>
      </w:pPr>
      <w:r>
        <w:rPr>
          <w:sz w:val="20"/>
        </w:rPr>
        <w:t xml:space="preserve">ИНДИВИДУАЛЬНЫМИ ПРЕДПРИНИМАТЕЛЯМИ И ПРИМЕНЯЮЩИМИ СПЕЦИАЛЬНЫЙ</w:t>
      </w:r>
    </w:p>
    <w:p>
      <w:pPr>
        <w:pStyle w:val="2"/>
        <w:jc w:val="center"/>
      </w:pPr>
      <w:r>
        <w:rPr>
          <w:sz w:val="20"/>
        </w:rPr>
        <w:t xml:space="preserve">НАЛОГОВЫЙ РЕЖИМ "НАЛОГ НА ПРОФЕССИОНАЛЬНЫЙ ДОХОД",</w:t>
      </w:r>
    </w:p>
    <w:p>
      <w:pPr>
        <w:pStyle w:val="2"/>
        <w:jc w:val="center"/>
      </w:pPr>
      <w:r>
        <w:rPr>
          <w:sz w:val="20"/>
        </w:rPr>
        <w:t xml:space="preserve">В МУНИЦИПАЛЬНОМ ОБРАЗОВАНИИ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Саратовской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25.06.2021 </w:t>
            </w:r>
            <w:hyperlink w:history="0" r:id="rId7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N 90-728</w:t>
              </w:r>
            </w:hyperlink>
            <w:r>
              <w:rPr>
                <w:sz w:val="20"/>
                <w:color w:val="392c69"/>
              </w:rPr>
              <w:t xml:space="preserve">, от 24.11.2023 </w:t>
            </w:r>
            <w:hyperlink w:history="0" r:id="rId8" w:tooltip="Решение Саратовской городской Думы от 24.11.2023 N 43-421 &quot;О внесении изменений в решение Саратовской городской Думы от 23 мая 2019 года N 50-373 &quot;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&quot;Налог на профессиональный доход&quot;,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N 43-421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 и </w:t>
      </w:r>
      <w:hyperlink w:history="0" r:id="rId10" w:tooltip="Решение Саратовской городской Думы от 18.12.2005 N 67-649 (ред. от 26.04.2024) &quot;Об Уставе муниципального образования городского округа &quot;Город Саратов&quot; (Зарегистрировано в ГУ Минюста РФ по Приволжскому федеральному округу 20.12.2005 N RU643040002005002)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Устава муниципального образования "Город Саратов" Саратовская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формирования, ведения и обязательного опубликования Перечня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11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в аренду нежилых зданий и помещений, включенных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56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в аренду земельных участков, включенных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Отменить решения Саратовской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30.09.2010 </w:t>
      </w:r>
      <w:hyperlink w:history="0" r:id="rId11" w:tooltip="Решение Саратовской городской Думы от 30.09.2010 N 55-656 (ред. от 19.07.2018) &quot;Об имущественной поддержке субъектов малого и среднего предпринимательства в городе Саратове&quot; ------------ Утратил силу или отменен {КонсультантПлюс}">
        <w:r>
          <w:rPr>
            <w:sz w:val="20"/>
            <w:color w:val="0000ff"/>
          </w:rPr>
          <w:t xml:space="preserve">N 55-656</w:t>
        </w:r>
      </w:hyperlink>
      <w:r>
        <w:rPr>
          <w:sz w:val="20"/>
        </w:rPr>
        <w:t xml:space="preserve"> "Об имущественной поддержке субъектов малого и среднего предпринимательства в городе Саратове";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29.11.2012 </w:t>
      </w:r>
      <w:hyperlink w:history="0" r:id="rId12" w:tooltip="Решение Саратовской городской Думы от 29.11.2012 N 20-236 &quot;О внесении изменений в решение Саратовской городской Думы от 30.09.2010 N 55-656 &quot;Об имущественной поддержке субъектов малого и среднего предпринимательства в городе Саратове&quot; ------------ Утратил силу или отменен {КонсультантПлюс}">
        <w:r>
          <w:rPr>
            <w:sz w:val="20"/>
            <w:color w:val="0000ff"/>
          </w:rPr>
          <w:t xml:space="preserve">N 20-236</w:t>
        </w:r>
      </w:hyperlink>
      <w:r>
        <w:rPr>
          <w:sz w:val="20"/>
        </w:rPr>
        <w:t xml:space="preserve"> "О внесении изменений в решение Саратовской городской Думы от 30.09.2010 N 55-656 "Об имущественной поддержке субъектов малого и среднего предпринимательства в городе Саратове";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19.07.2018 </w:t>
      </w:r>
      <w:hyperlink w:history="0" r:id="rId13" w:tooltip="Решение Саратовской городской Думы от 19.07.2018 N 37-283 &quot;О внесении изменений в решение Саратовской городской Думы от 30.09.2010 N 55-656 &quot;Об имущественной поддержке субъектов малого и среднего предпринимательства в городе Саратове&quot; (вместе с &quot;Порядком формирования, ведения и обязательного опубликования Перечня имущества, находящегося в собственности муниципального образования &quot;Город Саратов&quot;, свободного от прав третьих лиц (за исключением имущественных прав субъектов малого и среднего предпринимательства ------------ Утратил силу или отменен {КонсультантПлюс}">
        <w:r>
          <w:rPr>
            <w:sz w:val="20"/>
            <w:color w:val="0000ff"/>
          </w:rPr>
          <w:t xml:space="preserve">N 37-283</w:t>
        </w:r>
      </w:hyperlink>
      <w:r>
        <w:rPr>
          <w:sz w:val="20"/>
        </w:rPr>
        <w:t xml:space="preserve"> "О внесении изменений в решение Саратовской городской Думы от 30.09.2010 N 55-656 "Об имущественной поддержке субъектов малого и среднего предпринимательства в городе Саратове".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решение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Саратовской городской Думы</w:t>
      </w:r>
    </w:p>
    <w:p>
      <w:pPr>
        <w:pStyle w:val="0"/>
        <w:jc w:val="right"/>
      </w:pPr>
      <w:r>
        <w:rPr>
          <w:sz w:val="20"/>
        </w:rPr>
        <w:t xml:space="preserve">В.В.МАЛЕТИН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 "Город Саратов"</w:t>
      </w:r>
    </w:p>
    <w:p>
      <w:pPr>
        <w:pStyle w:val="0"/>
        <w:jc w:val="right"/>
      </w:pPr>
      <w:r>
        <w:rPr>
          <w:sz w:val="20"/>
        </w:rPr>
        <w:t xml:space="preserve">М.А.ИСАЕВ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Саратовской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23 мая 2019 г. N 50-373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ФОРМИРОВАНИЯ, ВЕДЕНИЯ И ОБЯЗАТЕЛЬНОГО ОПУБЛИКОВАНИЯ ПЕРЕЧНЯ</w:t>
      </w:r>
    </w:p>
    <w:p>
      <w:pPr>
        <w:pStyle w:val="2"/>
        <w:jc w:val="center"/>
      </w:pPr>
      <w:r>
        <w:rPr>
          <w:sz w:val="20"/>
        </w:rPr>
        <w:t xml:space="preserve">ИМУЩЕСТВА, НАХОДЯЩЕГОСЯ В СОБСТВЕННОСТИ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"ГОРОД САРАТОВ",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ПРАВА ХОЗЯЙСТВЕННОГО ВЕДЕНИЯ, ПРАВА</w:t>
      </w:r>
    </w:p>
    <w:p>
      <w:pPr>
        <w:pStyle w:val="2"/>
        <w:jc w:val="center"/>
      </w:pPr>
      <w:r>
        <w:rPr>
          <w:sz w:val="20"/>
        </w:rPr>
        <w:t xml:space="preserve">ОПЕРАТИВНОГО УПРАВЛЕНИЯ, А ТАКЖЕ ИМУЩЕСТВЕННЫХ ПРАВ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ПРЕДПРИНИМАТЕЛЬСТВА)</w:t>
      </w:r>
    </w:p>
    <w:p>
      <w:pPr>
        <w:pStyle w:val="2"/>
        <w:jc w:val="center"/>
      </w:pPr>
      <w:r>
        <w:rPr>
          <w:sz w:val="20"/>
        </w:rPr>
        <w:t xml:space="preserve">И ПРЕДНАЗНАЧЕННОГО ДЛЯ ПРЕДОСТАВЛЕНИЯ ЕГО ВО ВЛАДЕНИЕ</w:t>
      </w:r>
    </w:p>
    <w:p>
      <w:pPr>
        <w:pStyle w:val="2"/>
        <w:jc w:val="center"/>
      </w:pPr>
      <w:r>
        <w:rPr>
          <w:sz w:val="20"/>
        </w:rPr>
        <w:t xml:space="preserve">И (ИЛИ) В ПОЛЬЗОВАНИЕ НА ДОЛГОСРОЧНОЙ ОСНОВЕ СУБЪЕКТАМ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 И ОРГАНИЗАЦИЯМ,</w:t>
      </w:r>
    </w:p>
    <w:p>
      <w:pPr>
        <w:pStyle w:val="2"/>
        <w:jc w:val="center"/>
      </w:pPr>
      <w:r>
        <w:rPr>
          <w:sz w:val="20"/>
        </w:rPr>
        <w:t xml:space="preserve">ОБРАЗУЮЩИМ ИНФРАСТРУКТУРУ ПОДДЕРЖКИ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Саратовской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25.06.2021 N 90-728)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процедуры формирования, ведения (в том числе ежегодного дополнения) и обязательного опубликования Перечня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формируется с целью предоставления включенного в него имущества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 малого и среднего предпринимательства),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Муниципальное имущество, включаемое в Перечень, должно соответствовать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Для нежилых зданий и помещений: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Включено в Сводный реестр объектов муниципальной казны.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Не ограничено в обороте.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Не является объектом религиозного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Не является объектом незавершенного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Не признано аварийным и подлежащим сносу или реконструкции.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Не должно быть включено: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перечень муниципального имущества (объектов), подлежащего приватизации;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перечень муниципального имущества, подлежащего передаче в безвозмездное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примерный перечень объектов муниципального нежилого фонда города Саратова, которые могут быть переданы в залог в целях обеспечения кредитных обязательств муниципального образования "Город Саратов", утверждаемый соответствующим решением Саратовской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земельного участка: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Свободен от прав третьих лиц (за исключением имущественных прав субъектов малого и среднего предпринимательства);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Включен в Сводный реестр объектов муниципальной казны;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Не должен являться земельным участком: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предусмотренным </w:t>
      </w:r>
      <w:hyperlink w:history="0" r:id="rId16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17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1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- </w:t>
      </w:r>
      <w:hyperlink w:history="0" r:id="rId19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, </w:t>
      </w:r>
      <w:hyperlink w:history="0" r:id="rId20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и </w:t>
      </w:r>
      <w:hyperlink w:history="0" r:id="rId21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19 пункта 8 статьи 39.11</w:t>
        </w:r>
      </w:hyperlink>
      <w:r>
        <w:rPr>
          <w:sz w:val="20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Муниципальное 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и муниципальным казенным предприятием, по предложению указанных предприятия или учреждения и с согласия комитета по управлению имуществом города Саратова (далее - Комитет), может быть включено в Перечень, в соответствии с настоящим Порядком, в целях предоставления такого имущества во владение и (или) в пользование субъектам малого и среднего предпринимательства, физическим лицам, применяющим специальный налоговый режим.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отношении нежилых зданий и помещений проект Перечня, предложения по внесению изменений в Перечень, а также исключению имущества из Перечня формируются Комитетом с учетом рекомендаций комиссии по рациональному использованию объектов нежилого фонда г. Саратова (далее - Комиссия)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а также субъектов малого и среднего предпринимательства, физических лиц, применяющих специальный налоговый режим.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земельного участка проект Перечня, предложения по внесению изменений в Перечень, а также исключению имущества из Перечня формируются Комитетом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а также субъектов малого и среднего предпринимательства, физических лиц, применяющих специальный налоговый режим.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включении имущества в Перечень, исключении из Перечня, о внесении изменений в Перечень Комитет в обязательном порядке уведомляет координационные или совещательные органы в области развития малого и среднего предпринимательства, созданные органами местного самоуправления муниципального образования "Город Саратов". Перечень утверждается постановлением администрации муниципального образования "Город Саратов" не ранее чем через пятнадцать дней после направления соответствующего уведомления в координационные или совещательные органы в области развития малого и среднего предпринимательства, созданные органами местного самоуправления муниципального образования "Город Саратов".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Рассмотрение предложений, указанных в </w:t>
      </w:r>
      <w:hyperlink w:history="0" w:anchor="P81" w:tooltip="5. В отношении нежилых зданий и помещений проект Перечня, предложения по внесению изменений в Перечень, а также исключению имущества из Перечня формируются Комитетом с учетом рекомендаций комиссии по рациональному использованию объектов нежилого фонда г. Саратова (далее - Комиссия)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акционерного общества &quot;Федеральная корпорация по развитию малого и среднег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осуществляется Комиссией (для нежилых зданий и помещений) и Комитетом (для земельных участков).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30 календарных дней с даты их поступления Комитетом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включении имущества, в отношении которого поступило предложение, в Перечень с учетом критериев, установленных </w:t>
      </w:r>
      <w:hyperlink w:history="0" w:anchor="P61" w:tooltip="3. Муниципальное имущество, включаемое в Перечень, должно соответствовать следующим критериям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исключении имущества, в отношении которого поступило предложение, из Перечня с учетом положений </w:t>
      </w:r>
      <w:hyperlink w:history="0" w:anchor="P92" w:tooltip="8. Исключение имущества из Перечня возможно в случае, если в течение 2 лет со дня включения имущества в Перечень в отношении такого имущества от субъектов малого и среднего предпринимательства, физических лиц, применяющих специальный налоговый режим, не поступило:">
        <w:r>
          <w:rPr>
            <w:sz w:val="20"/>
            <w:color w:val="0000ff"/>
          </w:rPr>
          <w:t xml:space="preserve">пунктов 8</w:t>
        </w:r>
      </w:hyperlink>
      <w:r>
        <w:rPr>
          <w:sz w:val="20"/>
        </w:rPr>
        <w:t xml:space="preserve"> и </w:t>
      </w:r>
      <w:hyperlink w:history="0" w:anchor="P96" w:tooltip="9. Имущество подлежит исключению из Перечня если: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учете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принятия решения об отказе в учете предложения Комитет направляет лицу, представившему предложение, мотивированный ответ о невозможности включения имущества в Перечень или исключения имущества из Перечня.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Исключение имущества из Перечня возможно в случае, если в течение 2 лет со дня включения имущества в Перечень в отношении такого имущества от субъектов малого и среднего предпринимательства, физических лиц, применяющих специальный налоговый режим, не поступило: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ни одной заявки на участие в аукционе на право заключения договора, предусматривающего переход прав владения и (или) пользования в отношении имущества, находящегося в собственности муниципального образования "Город Саратов";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в случаях, предусмотренных Федеральным </w:t>
      </w:r>
      <w:hyperlink w:history="0" r:id="rId26" w:tooltip="Федеральный закон от 26.07.2006 N 135-ФЗ (ред. от 19.04.2024) &quot;О защите конкурен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 и земельным законодательством.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Имущество подлежит исключению из Перечня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отношении имущества органами местного самоуправления принято решение о его использовании для муниципальных нужд либо для иных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право собственности муниципального образования "Город Саратов" на имущество прекращено по решению суда или в ином установленном законом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об имуществе вносятся в Перечень в составе и по форме, которые установлены в соответствии с </w:t>
      </w:r>
      <w:hyperlink w:history="0" r:id="rId27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4.4 статьи 18</w:t>
        </w:r>
      </w:hyperlink>
      <w:r>
        <w:rPr>
          <w:sz w:val="20"/>
        </w:rPr>
        <w:t xml:space="preserve"> Федерального закона от 24.07.2007 N 209-ФЗ "О развитии малого и среднего предпринимательства в Российской Федерации". Ведение Перечня осуществляется Комитетом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Перечень и внесенные в него изменения подлежат обязательному опубликованию в средствах массовой информации и размещению на официальном сайте администрации муниципального образования "Город Саратов" "</w:t>
      </w:r>
      <w:r>
        <w:rPr>
          <w:sz w:val="20"/>
        </w:rPr>
        <w:t xml:space="preserve">www.saratovmer.ru</w:t>
      </w:r>
      <w:r>
        <w:rPr>
          <w:sz w:val="20"/>
        </w:rPr>
        <w:t xml:space="preserve">" (в том числе в форме открытых данных) в течение 10 рабочих дней со дня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Саратовской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23 мая 2019 г. N 50-373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В АРЕНДУ НЕЖИЛЫХ ЗДАНИЙ И ПОМЕЩЕНИЙ,</w:t>
      </w:r>
    </w:p>
    <w:p>
      <w:pPr>
        <w:pStyle w:val="2"/>
        <w:jc w:val="center"/>
      </w:pPr>
      <w:r>
        <w:rPr>
          <w:sz w:val="20"/>
        </w:rPr>
        <w:t xml:space="preserve">ВКЛЮЧЕННЫХ В ПЕРЕЧЕНЬ ИМУЩЕСТВА, НАХОДЯЩЕГОСЯ</w:t>
      </w:r>
    </w:p>
    <w:p>
      <w:pPr>
        <w:pStyle w:val="2"/>
        <w:jc w:val="center"/>
      </w:pPr>
      <w:r>
        <w:rPr>
          <w:sz w:val="20"/>
        </w:rPr>
        <w:t xml:space="preserve">В СОБСТВЕННОСТИ МУНИЦИПАЛЬНОГО ОБРАЗОВАНИЯ "ГОРОД САРАТОВ",</w:t>
      </w:r>
    </w:p>
    <w:p>
      <w:pPr>
        <w:pStyle w:val="2"/>
        <w:jc w:val="center"/>
      </w:pPr>
      <w:r>
        <w:rPr>
          <w:sz w:val="20"/>
        </w:rPr>
        <w:t xml:space="preserve">СВОБОДНОГО ОТ ПРАВ ТРЕТЬИХ ЛИЦ (ЗА ИСКЛЮЧЕНИЕМ ПРАВА</w:t>
      </w:r>
    </w:p>
    <w:p>
      <w:pPr>
        <w:pStyle w:val="2"/>
        <w:jc w:val="center"/>
      </w:pPr>
      <w:r>
        <w:rPr>
          <w:sz w:val="20"/>
        </w:rPr>
        <w:t xml:space="preserve">ХОЗЯЙСТВЕННОГО ВЕДЕНИЯ, ПРАВА ОПЕРАТИВНОГО УПРАВЛЕНИЯ,</w:t>
      </w:r>
    </w:p>
    <w:p>
      <w:pPr>
        <w:pStyle w:val="2"/>
        <w:jc w:val="center"/>
      </w:pPr>
      <w:r>
        <w:rPr>
          <w:sz w:val="20"/>
        </w:rPr>
        <w:t xml:space="preserve">А ТАКЖЕ ИМУЩЕСТВЕННЫХ ПРАВ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ПРЕДПРИНИМАТЕЛЬСТВА) И ПРЕДНАЗНАЧЕННОГО ДЛЯ ПРЕДОСТАВЛЕНИЯ</w:t>
      </w:r>
    </w:p>
    <w:p>
      <w:pPr>
        <w:pStyle w:val="2"/>
        <w:jc w:val="center"/>
      </w:pPr>
      <w:r>
        <w:rPr>
          <w:sz w:val="20"/>
        </w:rPr>
        <w:t xml:space="preserve">ЕГО ВО ВЛАДЕНИЕ И (ИЛИ) В ПОЛЬЗОВАНИЕ НА ДОЛГОСРОЧНОЙ ОСНОВЕ</w:t>
      </w:r>
    </w:p>
    <w:p>
      <w:pPr>
        <w:pStyle w:val="2"/>
        <w:jc w:val="center"/>
      </w:pPr>
      <w:r>
        <w:rPr>
          <w:sz w:val="20"/>
        </w:rPr>
        <w:t xml:space="preserve">СУБЪЕКТАМ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И ОРГАНИЗАЦИЯМ, ОБРАЗУЮЩИМ ИНФРАСТРУКТУРУ ПОДДЕРЖКИ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Саратовской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25.06.2021 </w:t>
            </w:r>
            <w:hyperlink w:history="0" r:id="rId28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N 90-728</w:t>
              </w:r>
            </w:hyperlink>
            <w:r>
              <w:rPr>
                <w:sz w:val="20"/>
                <w:color w:val="392c69"/>
              </w:rPr>
              <w:t xml:space="preserve">, от 24.11.2023 </w:t>
            </w:r>
            <w:hyperlink w:history="0" r:id="rId29" w:tooltip="Решение Саратовской городской Думы от 24.11.2023 N 43-421 &quot;О внесении изменений в решение Саратовской городской Думы от 23 мая 2019 года N 50-373 &quot;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&quot;Налог на профессиональный доход&quot;,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N 43-421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Нежилые здания и помещения (далее - имущество), включенные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быть использованы только в целях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Имущество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w:history="0" r:id="rId31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Не допускается переуступка прав пользования имуществом,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лицам прав и обязанностей по договорам аренды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w:history="0" r:id="rId32" w:tooltip="Федеральный закон от 26.07.2006 N 135-ФЗ (ред. от 19.04.2024) &quot;О защите конкуренции&quot; {КонсультантПлюс}">
        <w:r>
          <w:rPr>
            <w:sz w:val="20"/>
            <w:color w:val="0000ff"/>
          </w:rPr>
          <w:t xml:space="preserve">пунктом 14 части 1 статьи 17.1</w:t>
        </w:r>
      </w:hyperlink>
      <w:r>
        <w:rPr>
          <w:sz w:val="20"/>
        </w:rPr>
        <w:t xml:space="preserve"> Федерального закона от 26 июля 2006 года N 135-ФЗ "О защите конкуренции".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Решение Саратовской городской Думы от 24.11.2023 N 43-421 &quot;О внесении изменений в решение Саратовской городской Думы от 23 мая 2019 года N 50-373 &quot;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&quot;Налог на профессиональный доход&quot;,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24.11.2023 N 43-421)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договоров аренды имущества осуществляется по результатам проведения аукциона на право заключения таких договоров. Участниками такого аукциона могут быть только субъекты малого и среднего предпринимательства, физические лица, применяющие специальный налоговый режим,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физических лиц, применяющих специальный налоговый режим, в отношении которых не может оказываться поддержка в соответствии с </w:t>
      </w:r>
      <w:hyperlink w:history="0" r:id="rId34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14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Имущество должно использоваться исключительно в целях, установленных условиями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Договоры аренды имущества заключаются на срок, составляющий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Полномочия арендодателя имущества от имени муниципального образования "Город Саратов" осуществляет комитет по управлению имуществом города Саратова.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Договоры аренды с субъектами малого или среднего предпринимательства и организациями, образующими инфраструктуру поддержки субъектов малого и среднего предпринимательства, физических лиц, применяющих специальный налоговый режим, заключаются в порядке, установленном </w:t>
      </w:r>
      <w:hyperlink w:history="0" r:id="rId36" w:tooltip="Приказ ФАС России от 21.03.2023 N 147/23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Зарегистрировано в Минюсте России 19.05.2023 N 73371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антимонопольной службы от 21 марта 2023 года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>
      <w:pPr>
        <w:pStyle w:val="0"/>
        <w:jc w:val="both"/>
      </w:pPr>
      <w:r>
        <w:rPr>
          <w:sz w:val="20"/>
        </w:rPr>
        <w:t xml:space="preserve">(в ред. решений Саратовской городской Думы от 25.06.2021 </w:t>
      </w:r>
      <w:hyperlink w:history="0" r:id="rId37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N 90-728</w:t>
        </w:r>
      </w:hyperlink>
      <w:r>
        <w:rPr>
          <w:sz w:val="20"/>
        </w:rPr>
        <w:t xml:space="preserve">, от 24.11.2023 </w:t>
      </w:r>
      <w:hyperlink w:history="0" r:id="rId38" w:tooltip="Решение Саратовской городской Думы от 24.11.2023 N 43-421 &quot;О внесении изменений в решение Саратовской городской Думы от 23 мая 2019 года N 50-373 &quot;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&quot;Налог на профессиональный доход&quot;,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N 43-421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Затраты, понесенные арендатором на проведение капитального ремонта переданного имущества, могут компенсироваться в счет освобождения от арендной платы при принятии соответствующего решения комиссией по рациональному использованию объектов нежилого фонда г. Саратова.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Размер арендной платы определяется по результатам торгов, начальный размер арендной платы устанавливается с учетом норм законодательства, регулирующего оценочную деятельность в Российской Федерации. Арендная плата вносится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первый год аренды - 40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 второй год аренды - 60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третий год аренды - 80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четвертый год аренды и далее - 100 процентов размера арендной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порядок внесения арендной платы распространяется на договоры аренды сроком действия не менее пяти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договоров аренды сроком действия менее пяти лет арендная плата вносится ежегодно в размере 100 процентов размера арендной платы.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Саратовской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23 мая 2019 г. N 50-373</w:t>
      </w:r>
    </w:p>
    <w:p>
      <w:pPr>
        <w:pStyle w:val="0"/>
        <w:jc w:val="both"/>
      </w:pPr>
      <w:r>
        <w:rPr>
          <w:sz w:val="20"/>
        </w:rPr>
      </w:r>
    </w:p>
    <w:bookmarkStart w:id="156" w:name="P156"/>
    <w:bookmarkEnd w:id="156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В АРЕНДУ ЗЕМЕЛЬНЫХ УЧАСТКОВ, ВКЛЮЧЕННЫХ</w:t>
      </w:r>
    </w:p>
    <w:p>
      <w:pPr>
        <w:pStyle w:val="2"/>
        <w:jc w:val="center"/>
      </w:pPr>
      <w:r>
        <w:rPr>
          <w:sz w:val="20"/>
        </w:rPr>
        <w:t xml:space="preserve">В ПЕРЕЧЕНЬ ИМУЩЕСТВА, НАХОДЯЩЕГОСЯ В СОБСТВЕННОСТИ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 САРАТОВ", СВОБОДНОГО</w:t>
      </w:r>
    </w:p>
    <w:p>
      <w:pPr>
        <w:pStyle w:val="2"/>
        <w:jc w:val="center"/>
      </w:pPr>
      <w:r>
        <w:rPr>
          <w:sz w:val="20"/>
        </w:rPr>
        <w:t xml:space="preserve">ОТ ПРАВ ТРЕТЬИХ ЛИЦ (ЗА ИСКЛЮЧЕНИЕМ ПРАВА ХОЗЯЙСТВЕННОГО</w:t>
      </w:r>
    </w:p>
    <w:p>
      <w:pPr>
        <w:pStyle w:val="2"/>
        <w:jc w:val="center"/>
      </w:pPr>
      <w:r>
        <w:rPr>
          <w:sz w:val="20"/>
        </w:rPr>
        <w:t xml:space="preserve">ВЕДЕНИЯ, ПРАВА ОПЕРАТИВНОГО УПРАВЛЕНИЯ, А ТАКЖЕ</w:t>
      </w:r>
    </w:p>
    <w:p>
      <w:pPr>
        <w:pStyle w:val="2"/>
        <w:jc w:val="center"/>
      </w:pPr>
      <w:r>
        <w:rPr>
          <w:sz w:val="20"/>
        </w:rPr>
        <w:t xml:space="preserve">ИМУЩЕСТВЕННЫХ ПРАВ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ПРЕДПРИНИМАТЕЛЬСТВА) И ПРЕДНАЗНАЧЕННОГО ДЛЯ ПРЕДОСТАВЛЕНИЯ</w:t>
      </w:r>
    </w:p>
    <w:p>
      <w:pPr>
        <w:pStyle w:val="2"/>
        <w:jc w:val="center"/>
      </w:pPr>
      <w:r>
        <w:rPr>
          <w:sz w:val="20"/>
        </w:rPr>
        <w:t xml:space="preserve">ЕГО ВО ВЛАДЕНИЕ И (ИЛИ) В ПОЛЬЗОВАНИЕ НА ДОЛГОСРОЧНОЙ ОСНОВЕ</w:t>
      </w:r>
    </w:p>
    <w:p>
      <w:pPr>
        <w:pStyle w:val="2"/>
        <w:jc w:val="center"/>
      </w:pPr>
      <w:r>
        <w:rPr>
          <w:sz w:val="20"/>
        </w:rPr>
        <w:t xml:space="preserve">СУБЪЕКТАМ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И ОРГАНИЗАЦИЯМ, ОБРАЗУЮЩИМ ИНФРАСТРУКТУРУ ПОДДЕРЖКИ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9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Саратовской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25.06.2021 N 90-728)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Земельные участки, включенные в Перечень имущества, находящегося в собственности муниципального образования "Город Саратов",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быть использованы только в целях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Земельные участки не подлежат отчуждению в частную собственность, за исключением случаев, указанных в </w:t>
      </w:r>
      <w:hyperlink w:history="0" r:id="rId41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подпунктах 6</w:t>
        </w:r>
      </w:hyperlink>
      <w:r>
        <w:rPr>
          <w:sz w:val="20"/>
        </w:rPr>
        <w:t xml:space="preserve">, </w:t>
      </w:r>
      <w:hyperlink w:history="0" r:id="rId42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43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9 пункта 2 статьи 39.3</w:t>
        </w:r>
      </w:hyperlink>
      <w:r>
        <w:rPr>
          <w:sz w:val="20"/>
        </w:rPr>
        <w:t xml:space="preserve"> Земельного кодекса Российской Федерации. Не допускается переуступка прав пользования земельным участком,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лицам прав и обязанностей по договорам аренды имущества (перенаем), передача в субаренду, за исключением случаев,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договоров аренды земельных участков осуществляется по результатам проведения аукциона на право заключения таких договоров. Участниками такого аукциона могут быть только субъекты малого и среднего предпринимательства, физические лица, применяющие специальный налоговый режим,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физических лиц, применяющих специальный налоговый режим, в отношении которых не может оказываться поддержка в соответствии с </w:t>
      </w:r>
      <w:hyperlink w:history="0" r:id="rId44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14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Договоры аренды земельных участков с субъектами малого и среднего предпринимательства, физическими лицами, применяющими специальный налоговый режим, и организациями, образующими инфраструктуру поддержки субъектов малого и среднего предпринимательства, заключаются в порядке, предусмотренном земельным и гражданским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Решение Саратовской городской Думы от 25.06.2021 N 90-728 &quot;О внесении изменений в решение Саратовской городской Думы от 23.05.2019 N 50-373 &quot;Об имущественной поддержке субъектов малого и среднего предпринимательства в муниципальном образовании &quot;Город Сар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Саратовской городской Думы от 25.06.2021 N 90-728)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Договоры аренды земельных участков заключаются на срок, установленный </w:t>
      </w:r>
      <w:hyperlink w:history="0" r:id="rId47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частью 8 статьи 39.8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Земельные участки должны использоваться исключительно в целях, установленных условиями договора аренды, с соблюдением запретов и ограничений,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Полномочия арендодателя земельных участков от имени муниципального образования "Город Саратов" осуществляет комитет по управлению имуществом города Саратова.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Размер арендной платы определяется по результатам аукциона. Начальная цена предмета аукциона на право заключения договора аренды земельного участка устанавливается комитетом по управлению имуществом города Саратова в соответствии с требованиями </w:t>
      </w:r>
      <w:hyperlink w:history="0" r:id="rId4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части 14 статьи 39.11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Арендная плата вносится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первый год аренды - 40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 второй год аренды - 60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третий год аренды - 80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четвертый год аренды и далее - 100 процентов размера арендной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порядок внесения арендной платы распространяется на договоры аренды сроком действия не менее пяти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договоров аренды сроком действия менее пяти лет арендная плата вносится ежегодно в размере 100 процентов размера арендной платы.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Саратовской городской Думы от 23.05.2019 N 50-373</w:t>
            <w:br/>
            <w:t>(ред. от 24.11.2023)</w:t>
            <w:br/>
            <w:t>"Об имущественной поддержке субъектов мал...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8&amp;n=140681&amp;dst=100005" TargetMode = "External"/>
	<Relationship Id="rId8" Type="http://schemas.openxmlformats.org/officeDocument/2006/relationships/hyperlink" Target="https://login.consultant.ru/link/?req=doc&amp;base=RLAW358&amp;n=168900&amp;dst=100005" TargetMode = "External"/>
	<Relationship Id="rId9" Type="http://schemas.openxmlformats.org/officeDocument/2006/relationships/hyperlink" Target="https://login.consultant.ru/link/?req=doc&amp;base=LAW&amp;n=477368&amp;dst=100362" TargetMode = "External"/>
	<Relationship Id="rId10" Type="http://schemas.openxmlformats.org/officeDocument/2006/relationships/hyperlink" Target="https://login.consultant.ru/link/?req=doc&amp;base=RLAW358&amp;n=174883&amp;dst=100237" TargetMode = "External"/>
	<Relationship Id="rId11" Type="http://schemas.openxmlformats.org/officeDocument/2006/relationships/hyperlink" Target="https://login.consultant.ru/link/?req=doc&amp;base=RLAW358&amp;n=114277" TargetMode = "External"/>
	<Relationship Id="rId12" Type="http://schemas.openxmlformats.org/officeDocument/2006/relationships/hyperlink" Target="https://login.consultant.ru/link/?req=doc&amp;base=RLAW358&amp;n=62389" TargetMode = "External"/>
	<Relationship Id="rId13" Type="http://schemas.openxmlformats.org/officeDocument/2006/relationships/hyperlink" Target="https://login.consultant.ru/link/?req=doc&amp;base=RLAW358&amp;n=113654" TargetMode = "External"/>
	<Relationship Id="rId14" Type="http://schemas.openxmlformats.org/officeDocument/2006/relationships/hyperlink" Target="https://login.consultant.ru/link/?req=doc&amp;base=RLAW358&amp;n=140681&amp;dst=100007" TargetMode = "External"/>
	<Relationship Id="rId15" Type="http://schemas.openxmlformats.org/officeDocument/2006/relationships/hyperlink" Target="https://login.consultant.ru/link/?req=doc&amp;base=RLAW358&amp;n=140681&amp;dst=100007" TargetMode = "External"/>
	<Relationship Id="rId16" Type="http://schemas.openxmlformats.org/officeDocument/2006/relationships/hyperlink" Target="https://login.consultant.ru/link/?req=doc&amp;base=LAW&amp;n=454318&amp;dst=1601" TargetMode = "External"/>
	<Relationship Id="rId17" Type="http://schemas.openxmlformats.org/officeDocument/2006/relationships/hyperlink" Target="https://login.consultant.ru/link/?req=doc&amp;base=LAW&amp;n=454318&amp;dst=630" TargetMode = "External"/>
	<Relationship Id="rId18" Type="http://schemas.openxmlformats.org/officeDocument/2006/relationships/hyperlink" Target="https://login.consultant.ru/link/?req=doc&amp;base=LAW&amp;n=454318&amp;dst=633" TargetMode = "External"/>
	<Relationship Id="rId19" Type="http://schemas.openxmlformats.org/officeDocument/2006/relationships/hyperlink" Target="https://login.consultant.ru/link/?req=doc&amp;base=LAW&amp;n=454318&amp;dst=635" TargetMode = "External"/>
	<Relationship Id="rId20" Type="http://schemas.openxmlformats.org/officeDocument/2006/relationships/hyperlink" Target="https://login.consultant.ru/link/?req=doc&amp;base=LAW&amp;n=454318&amp;dst=638" TargetMode = "External"/>
	<Relationship Id="rId21" Type="http://schemas.openxmlformats.org/officeDocument/2006/relationships/hyperlink" Target="https://login.consultant.ru/link/?req=doc&amp;base=LAW&amp;n=454318&amp;dst=639" TargetMode = "External"/>
	<Relationship Id="rId22" Type="http://schemas.openxmlformats.org/officeDocument/2006/relationships/hyperlink" Target="https://login.consultant.ru/link/?req=doc&amp;base=RLAW358&amp;n=140681&amp;dst=100008" TargetMode = "External"/>
	<Relationship Id="rId23" Type="http://schemas.openxmlformats.org/officeDocument/2006/relationships/hyperlink" Target="https://login.consultant.ru/link/?req=doc&amp;base=RLAW358&amp;n=140681&amp;dst=100008" TargetMode = "External"/>
	<Relationship Id="rId24" Type="http://schemas.openxmlformats.org/officeDocument/2006/relationships/hyperlink" Target="https://login.consultant.ru/link/?req=doc&amp;base=RLAW358&amp;n=140681&amp;dst=100008" TargetMode = "External"/>
	<Relationship Id="rId25" Type="http://schemas.openxmlformats.org/officeDocument/2006/relationships/hyperlink" Target="https://login.consultant.ru/link/?req=doc&amp;base=RLAW358&amp;n=140681&amp;dst=100009" TargetMode = "External"/>
	<Relationship Id="rId26" Type="http://schemas.openxmlformats.org/officeDocument/2006/relationships/hyperlink" Target="https://login.consultant.ru/link/?req=doc&amp;base=LAW&amp;n=474932" TargetMode = "External"/>
	<Relationship Id="rId27" Type="http://schemas.openxmlformats.org/officeDocument/2006/relationships/hyperlink" Target="https://login.consultant.ru/link/?req=doc&amp;base=LAW&amp;n=477368&amp;dst=100347" TargetMode = "External"/>
	<Relationship Id="rId28" Type="http://schemas.openxmlformats.org/officeDocument/2006/relationships/hyperlink" Target="https://login.consultant.ru/link/?req=doc&amp;base=RLAW358&amp;n=140681&amp;dst=100007" TargetMode = "External"/>
	<Relationship Id="rId29" Type="http://schemas.openxmlformats.org/officeDocument/2006/relationships/hyperlink" Target="https://login.consultant.ru/link/?req=doc&amp;base=RLAW358&amp;n=168900&amp;dst=100005" TargetMode = "External"/>
	<Relationship Id="rId30" Type="http://schemas.openxmlformats.org/officeDocument/2006/relationships/hyperlink" Target="https://login.consultant.ru/link/?req=doc&amp;base=RLAW358&amp;n=140681&amp;dst=100007" TargetMode = "External"/>
	<Relationship Id="rId31" Type="http://schemas.openxmlformats.org/officeDocument/2006/relationships/hyperlink" Target="https://login.consultant.ru/link/?req=doc&amp;base=LAW&amp;n=474028" TargetMode = "External"/>
	<Relationship Id="rId32" Type="http://schemas.openxmlformats.org/officeDocument/2006/relationships/hyperlink" Target="https://login.consultant.ru/link/?req=doc&amp;base=LAW&amp;n=474932&amp;dst=371" TargetMode = "External"/>
	<Relationship Id="rId33" Type="http://schemas.openxmlformats.org/officeDocument/2006/relationships/hyperlink" Target="https://login.consultant.ru/link/?req=doc&amp;base=RLAW358&amp;n=168900&amp;dst=100006" TargetMode = "External"/>
	<Relationship Id="rId34" Type="http://schemas.openxmlformats.org/officeDocument/2006/relationships/hyperlink" Target="https://login.consultant.ru/link/?req=doc&amp;base=LAW&amp;n=477368&amp;dst=100138" TargetMode = "External"/>
	<Relationship Id="rId35" Type="http://schemas.openxmlformats.org/officeDocument/2006/relationships/hyperlink" Target="https://login.consultant.ru/link/?req=doc&amp;base=RLAW358&amp;n=140681&amp;dst=100010" TargetMode = "External"/>
	<Relationship Id="rId36" Type="http://schemas.openxmlformats.org/officeDocument/2006/relationships/hyperlink" Target="https://login.consultant.ru/link/?req=doc&amp;base=LAW&amp;n=447647" TargetMode = "External"/>
	<Relationship Id="rId37" Type="http://schemas.openxmlformats.org/officeDocument/2006/relationships/hyperlink" Target="https://login.consultant.ru/link/?req=doc&amp;base=RLAW358&amp;n=140681&amp;dst=100011" TargetMode = "External"/>
	<Relationship Id="rId38" Type="http://schemas.openxmlformats.org/officeDocument/2006/relationships/hyperlink" Target="https://login.consultant.ru/link/?req=doc&amp;base=RLAW358&amp;n=168900&amp;dst=100007" TargetMode = "External"/>
	<Relationship Id="rId39" Type="http://schemas.openxmlformats.org/officeDocument/2006/relationships/hyperlink" Target="https://login.consultant.ru/link/?req=doc&amp;base=RLAW358&amp;n=140681&amp;dst=100007" TargetMode = "External"/>
	<Relationship Id="rId40" Type="http://schemas.openxmlformats.org/officeDocument/2006/relationships/hyperlink" Target="https://login.consultant.ru/link/?req=doc&amp;base=RLAW358&amp;n=140681&amp;dst=100007" TargetMode = "External"/>
	<Relationship Id="rId41" Type="http://schemas.openxmlformats.org/officeDocument/2006/relationships/hyperlink" Target="https://login.consultant.ru/link/?req=doc&amp;base=LAW&amp;n=454318&amp;dst=441" TargetMode = "External"/>
	<Relationship Id="rId42" Type="http://schemas.openxmlformats.org/officeDocument/2006/relationships/hyperlink" Target="https://login.consultant.ru/link/?req=doc&amp;base=LAW&amp;n=454318&amp;dst=443" TargetMode = "External"/>
	<Relationship Id="rId43" Type="http://schemas.openxmlformats.org/officeDocument/2006/relationships/hyperlink" Target="https://login.consultant.ru/link/?req=doc&amp;base=LAW&amp;n=454318&amp;dst=1580" TargetMode = "External"/>
	<Relationship Id="rId44" Type="http://schemas.openxmlformats.org/officeDocument/2006/relationships/hyperlink" Target="https://login.consultant.ru/link/?req=doc&amp;base=LAW&amp;n=477368&amp;dst=100138" TargetMode = "External"/>
	<Relationship Id="rId45" Type="http://schemas.openxmlformats.org/officeDocument/2006/relationships/hyperlink" Target="https://login.consultant.ru/link/?req=doc&amp;base=RLAW358&amp;n=140681&amp;dst=100010" TargetMode = "External"/>
	<Relationship Id="rId46" Type="http://schemas.openxmlformats.org/officeDocument/2006/relationships/hyperlink" Target="https://login.consultant.ru/link/?req=doc&amp;base=RLAW358&amp;n=140681&amp;dst=100011" TargetMode = "External"/>
	<Relationship Id="rId47" Type="http://schemas.openxmlformats.org/officeDocument/2006/relationships/hyperlink" Target="https://login.consultant.ru/link/?req=doc&amp;base=LAW&amp;n=454318&amp;dst=534" TargetMode = "External"/>
	<Relationship Id="rId48" Type="http://schemas.openxmlformats.org/officeDocument/2006/relationships/hyperlink" Target="https://login.consultant.ru/link/?req=doc&amp;base=LAW&amp;n=454318&amp;dst=6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Саратовской городской Думы от 23.05.2019 N 50-373
(ред. от 24.11.2023)
"Об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доход", в муниципальном образовании "Город Саратов"
(вместе с "Порядком формирования, ведения и обязательного опубликования Перечня имущества, находящегося в собственности муниципального образования "Город Саратов"</dc:title>
  <dcterms:created xsi:type="dcterms:W3CDTF">2024-06-20T06:25:34Z</dcterms:created>
</cp:coreProperties>
</file>